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B024C" w14:textId="37E9BC34" w:rsidR="00B62AF0" w:rsidRPr="00E2608E" w:rsidRDefault="00B62AF0" w:rsidP="00763B70">
      <w:pPr>
        <w:pBdr>
          <w:bar w:val="single" w:sz="4" w:color="auto"/>
        </w:pBdr>
      </w:pPr>
      <w:r w:rsidRPr="00E2608E">
        <w:rPr>
          <w:noProof/>
          <w:lang w:eastAsia="en-GB"/>
        </w:rPr>
        <w:drawing>
          <wp:inline distT="0" distB="0" distL="0" distR="0" wp14:anchorId="76BB0307" wp14:editId="1CE5E45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6BB024D" w14:textId="77777777" w:rsidR="00B62AF0" w:rsidRPr="00E2608E" w:rsidRDefault="00B62AF0" w:rsidP="00B62AF0">
      <w:bookmarkStart w:id="0" w:name="_GoBack"/>
      <w:bookmarkEnd w:id="0"/>
    </w:p>
    <w:p w14:paraId="76BB024E" w14:textId="77777777" w:rsidR="00B62AF0" w:rsidRPr="00E2608E" w:rsidRDefault="00821250" w:rsidP="00B62AF0">
      <w:pPr>
        <w:pStyle w:val="FSTitle"/>
        <w:rPr>
          <w:b/>
        </w:rPr>
      </w:pPr>
      <w:r w:rsidRPr="00E2608E">
        <w:rPr>
          <w:b/>
        </w:rPr>
        <w:t xml:space="preserve">Supporting </w:t>
      </w:r>
      <w:r w:rsidR="007E29CB" w:rsidRPr="00E2608E">
        <w:rPr>
          <w:b/>
        </w:rPr>
        <w:t>d</w:t>
      </w:r>
      <w:r w:rsidRPr="00E2608E">
        <w:rPr>
          <w:b/>
        </w:rPr>
        <w:t>ocument</w:t>
      </w:r>
      <w:r w:rsidR="00DF27E7" w:rsidRPr="00E2608E">
        <w:rPr>
          <w:b/>
        </w:rPr>
        <w:t xml:space="preserve"> 1</w:t>
      </w:r>
    </w:p>
    <w:p w14:paraId="76BB024F" w14:textId="77777777" w:rsidR="00B62AF0" w:rsidRPr="00E2608E" w:rsidRDefault="00B62AF0" w:rsidP="00B62AF0">
      <w:pPr>
        <w:rPr>
          <w:sz w:val="20"/>
        </w:rPr>
      </w:pPr>
    </w:p>
    <w:p w14:paraId="76BB0250" w14:textId="5A3EEF06" w:rsidR="00DA06CD" w:rsidRPr="00E2608E" w:rsidRDefault="00916D07" w:rsidP="00B62AF0">
      <w:pPr>
        <w:pStyle w:val="FSTitle"/>
      </w:pPr>
      <w:r w:rsidRPr="00E2608E">
        <w:t>MRL</w:t>
      </w:r>
      <w:r w:rsidR="00C03D7E">
        <w:t>s</w:t>
      </w:r>
      <w:r w:rsidRPr="00E2608E">
        <w:t xml:space="preserve"> </w:t>
      </w:r>
      <w:r w:rsidR="00422242">
        <w:t xml:space="preserve">for coumatetralyl and warfarin </w:t>
      </w:r>
      <w:r w:rsidR="00821250" w:rsidRPr="00E2608E">
        <w:t>and d</w:t>
      </w:r>
      <w:r w:rsidR="00B62AF0" w:rsidRPr="00E2608E">
        <w:t>ietary exposure estimates</w:t>
      </w:r>
      <w:r w:rsidR="00657B01" w:rsidRPr="00E2608E">
        <w:t xml:space="preserve"> for the Australian population</w:t>
      </w:r>
      <w:r w:rsidR="00CC3D73">
        <w:t xml:space="preserve"> </w:t>
      </w:r>
      <w:r w:rsidR="001364E2">
        <w:t xml:space="preserve">(at Approval) </w:t>
      </w:r>
      <w:r w:rsidR="00DA06CD" w:rsidRPr="00E2608E">
        <w:t>– Proposal M101</w:t>
      </w:r>
      <w:r w:rsidR="00250935">
        <w:t>2</w:t>
      </w:r>
    </w:p>
    <w:p w14:paraId="76BB0251" w14:textId="77777777" w:rsidR="00B62AF0" w:rsidRPr="00E2608E" w:rsidRDefault="00B62AF0" w:rsidP="00B62AF0">
      <w:pPr>
        <w:rPr>
          <w:sz w:val="24"/>
          <w:szCs w:val="24"/>
        </w:rPr>
      </w:pPr>
    </w:p>
    <w:p w14:paraId="76BB0252" w14:textId="0AEA8D5A" w:rsidR="00B62AF0" w:rsidRPr="00E2608E" w:rsidRDefault="00590A3A" w:rsidP="00B62AF0">
      <w:pPr>
        <w:pStyle w:val="FSTitle"/>
      </w:pPr>
      <w:r>
        <w:t>Amendments to Standard 1.4.2</w:t>
      </w:r>
    </w:p>
    <w:p w14:paraId="76BB0253" w14:textId="77777777" w:rsidR="00DA06CD" w:rsidRPr="00E2608E" w:rsidRDefault="00DA06CD" w:rsidP="00DA06CD">
      <w:pPr>
        <w:pBdr>
          <w:bottom w:val="single" w:sz="12" w:space="1" w:color="auto"/>
        </w:pBdr>
        <w:spacing w:line="280" w:lineRule="exact"/>
        <w:rPr>
          <w:rFonts w:cs="Arial"/>
          <w:bCs/>
        </w:rPr>
      </w:pPr>
    </w:p>
    <w:p w14:paraId="76BB0254" w14:textId="77777777" w:rsidR="00BA4D27" w:rsidRPr="00E2608E" w:rsidRDefault="00BA4D27" w:rsidP="00B62AF0">
      <w:pPr>
        <w:pStyle w:val="FSTitle"/>
        <w:rPr>
          <w:sz w:val="24"/>
        </w:rPr>
      </w:pPr>
    </w:p>
    <w:tbl>
      <w:tblPr>
        <w:tblStyle w:val="TableGrid"/>
        <w:tblW w:w="5000" w:type="pct"/>
        <w:tblBorders>
          <w:insideV w:val="none" w:sz="0" w:space="0" w:color="auto"/>
        </w:tblBorders>
        <w:tblLook w:val="04A0" w:firstRow="1" w:lastRow="0" w:firstColumn="1" w:lastColumn="0" w:noHBand="0" w:noVBand="1"/>
      </w:tblPr>
      <w:tblGrid>
        <w:gridCol w:w="308"/>
        <w:gridCol w:w="3731"/>
        <w:gridCol w:w="1722"/>
        <w:gridCol w:w="3525"/>
      </w:tblGrid>
      <w:tr w:rsidR="00312E68" w:rsidRPr="00E2608E" w14:paraId="76BB025B" w14:textId="77777777" w:rsidTr="00A40A20">
        <w:trPr>
          <w:tblHeader/>
        </w:trPr>
        <w:tc>
          <w:tcPr>
            <w:tcW w:w="2175" w:type="pct"/>
            <w:gridSpan w:val="2"/>
            <w:vMerge w:val="restart"/>
            <w:shd w:val="clear" w:color="auto" w:fill="D9D9D9" w:themeFill="background1" w:themeFillShade="D9"/>
          </w:tcPr>
          <w:p w14:paraId="76BB0255" w14:textId="77777777" w:rsidR="00312E68" w:rsidRPr="00E2608E" w:rsidRDefault="00312E68" w:rsidP="00B62AF0">
            <w:pPr>
              <w:pStyle w:val="FSTitle"/>
              <w:rPr>
                <w:rFonts w:cs="Arial"/>
                <w:sz w:val="20"/>
                <w:szCs w:val="20"/>
              </w:rPr>
            </w:pPr>
            <w:r w:rsidRPr="00E2608E">
              <w:rPr>
                <w:rFonts w:cs="Arial"/>
                <w:b/>
                <w:bCs w:val="0"/>
                <w:sz w:val="20"/>
                <w:szCs w:val="20"/>
                <w:lang w:eastAsia="en-GB"/>
              </w:rPr>
              <w:t>Chemical</w:t>
            </w:r>
          </w:p>
          <w:p w14:paraId="76BB0256" w14:textId="77777777" w:rsidR="00312E68" w:rsidRPr="00E2608E" w:rsidRDefault="00312E68" w:rsidP="00B62AF0">
            <w:pPr>
              <w:pStyle w:val="FSTitle"/>
              <w:rPr>
                <w:rFonts w:cs="Arial"/>
                <w:sz w:val="20"/>
                <w:szCs w:val="20"/>
              </w:rPr>
            </w:pPr>
            <w:r w:rsidRPr="00E2608E">
              <w:rPr>
                <w:rFonts w:cs="Arial"/>
                <w:b/>
                <w:sz w:val="20"/>
                <w:szCs w:val="20"/>
                <w:lang w:eastAsia="en-GB"/>
              </w:rPr>
              <w:t xml:space="preserve">              Commodity descriptor</w:t>
            </w:r>
          </w:p>
        </w:tc>
        <w:tc>
          <w:tcPr>
            <w:tcW w:w="927" w:type="pct"/>
            <w:vMerge w:val="restart"/>
            <w:shd w:val="clear" w:color="auto" w:fill="D9D9D9" w:themeFill="background1" w:themeFillShade="D9"/>
          </w:tcPr>
          <w:p w14:paraId="76BB0257" w14:textId="286378AD" w:rsidR="00312E68" w:rsidRPr="00E2608E" w:rsidRDefault="00312E68" w:rsidP="00312E68">
            <w:pPr>
              <w:pStyle w:val="FSTitle"/>
              <w:jc w:val="center"/>
              <w:rPr>
                <w:rFonts w:cs="Arial"/>
                <w:sz w:val="20"/>
                <w:szCs w:val="20"/>
              </w:rPr>
            </w:pPr>
            <w:r>
              <w:rPr>
                <w:rFonts w:cs="Arial"/>
                <w:b/>
                <w:bCs w:val="0"/>
                <w:sz w:val="20"/>
                <w:szCs w:val="20"/>
                <w:lang w:eastAsia="en-GB"/>
              </w:rPr>
              <w:t>MRL</w:t>
            </w:r>
            <w:r w:rsidRPr="00E2608E">
              <w:rPr>
                <w:rFonts w:cs="Arial"/>
                <w:b/>
                <w:bCs w:val="0"/>
                <w:sz w:val="20"/>
                <w:szCs w:val="20"/>
                <w:lang w:eastAsia="en-GB"/>
              </w:rPr>
              <w:br/>
              <w:t>mg/kg</w:t>
            </w:r>
          </w:p>
        </w:tc>
        <w:tc>
          <w:tcPr>
            <w:tcW w:w="1898" w:type="pct"/>
            <w:tcBorders>
              <w:bottom w:val="nil"/>
            </w:tcBorders>
            <w:shd w:val="clear" w:color="auto" w:fill="D9D9D9" w:themeFill="background1" w:themeFillShade="D9"/>
          </w:tcPr>
          <w:p w14:paraId="3DD48DBA" w14:textId="067C0544" w:rsidR="00312E68" w:rsidRDefault="00312E68" w:rsidP="008A0F47">
            <w:pPr>
              <w:pStyle w:val="FSTitle"/>
              <w:jc w:val="center"/>
              <w:rPr>
                <w:rFonts w:cs="Arial"/>
                <w:b/>
                <w:sz w:val="20"/>
                <w:szCs w:val="20"/>
              </w:rPr>
            </w:pPr>
            <w:r>
              <w:rPr>
                <w:rFonts w:cs="Arial"/>
                <w:b/>
                <w:sz w:val="20"/>
                <w:szCs w:val="20"/>
              </w:rPr>
              <w:t>Dietary Exposure Estimates</w:t>
            </w:r>
          </w:p>
        </w:tc>
      </w:tr>
      <w:tr w:rsidR="00312E68" w:rsidRPr="00E2608E" w14:paraId="76BB0264" w14:textId="77777777" w:rsidTr="00A40A20">
        <w:trPr>
          <w:tblHeader/>
        </w:trPr>
        <w:tc>
          <w:tcPr>
            <w:tcW w:w="2175" w:type="pct"/>
            <w:gridSpan w:val="2"/>
            <w:vMerge/>
            <w:shd w:val="clear" w:color="auto" w:fill="D9D9D9" w:themeFill="background1" w:themeFillShade="D9"/>
          </w:tcPr>
          <w:p w14:paraId="76BB025C" w14:textId="77777777" w:rsidR="00312E68" w:rsidRPr="00E2608E" w:rsidRDefault="00312E68" w:rsidP="00B62AF0">
            <w:pPr>
              <w:pStyle w:val="FSTitle"/>
              <w:rPr>
                <w:rFonts w:cs="Arial"/>
                <w:sz w:val="20"/>
                <w:szCs w:val="20"/>
              </w:rPr>
            </w:pPr>
          </w:p>
        </w:tc>
        <w:tc>
          <w:tcPr>
            <w:tcW w:w="927" w:type="pct"/>
            <w:vMerge/>
            <w:shd w:val="clear" w:color="auto" w:fill="D9D9D9" w:themeFill="background1" w:themeFillShade="D9"/>
          </w:tcPr>
          <w:p w14:paraId="76BB025D" w14:textId="77777777" w:rsidR="00312E68" w:rsidRPr="00E2608E" w:rsidRDefault="00312E68" w:rsidP="002F545F">
            <w:pPr>
              <w:pStyle w:val="FSTitle"/>
              <w:jc w:val="center"/>
              <w:rPr>
                <w:rFonts w:cs="Arial"/>
                <w:sz w:val="20"/>
                <w:szCs w:val="20"/>
              </w:rPr>
            </w:pPr>
          </w:p>
        </w:tc>
        <w:tc>
          <w:tcPr>
            <w:tcW w:w="1898" w:type="pct"/>
            <w:tcBorders>
              <w:top w:val="nil"/>
            </w:tcBorders>
            <w:shd w:val="clear" w:color="auto" w:fill="D9D9D9" w:themeFill="background1" w:themeFillShade="D9"/>
          </w:tcPr>
          <w:p w14:paraId="39F79B27" w14:textId="5B89368B" w:rsidR="00312E68" w:rsidRPr="00B700E0" w:rsidRDefault="00312E68" w:rsidP="00B700E0">
            <w:pPr>
              <w:pStyle w:val="FSTitle"/>
              <w:jc w:val="center"/>
              <w:rPr>
                <w:rFonts w:cs="Arial"/>
                <w:b/>
                <w:sz w:val="20"/>
                <w:szCs w:val="20"/>
              </w:rPr>
            </w:pPr>
            <w:r w:rsidRPr="00312E68">
              <w:rPr>
                <w:rFonts w:cs="Arial"/>
                <w:b/>
                <w:sz w:val="20"/>
                <w:szCs w:val="20"/>
              </w:rPr>
              <w:t xml:space="preserve">2 years and above </w:t>
            </w:r>
          </w:p>
        </w:tc>
      </w:tr>
      <w:tr w:rsidR="00312E68" w:rsidRPr="00E2608E" w14:paraId="76BB026C" w14:textId="77777777" w:rsidTr="0034539C">
        <w:tc>
          <w:tcPr>
            <w:tcW w:w="2175" w:type="pct"/>
            <w:gridSpan w:val="2"/>
            <w:shd w:val="clear" w:color="auto" w:fill="F2F2F2" w:themeFill="background1" w:themeFillShade="F2"/>
          </w:tcPr>
          <w:p w14:paraId="76BB0265" w14:textId="543A769F" w:rsidR="00312E68" w:rsidRPr="00E2608E" w:rsidRDefault="00312E68" w:rsidP="00B62AF0">
            <w:pPr>
              <w:pStyle w:val="FSTitle"/>
              <w:rPr>
                <w:rFonts w:cs="Arial"/>
                <w:sz w:val="20"/>
                <w:szCs w:val="20"/>
              </w:rPr>
            </w:pPr>
            <w:r>
              <w:rPr>
                <w:rFonts w:cs="Arial"/>
                <w:b/>
                <w:bCs w:val="0"/>
                <w:sz w:val="20"/>
                <w:szCs w:val="20"/>
                <w:lang w:eastAsia="en-GB"/>
              </w:rPr>
              <w:t>Coumatetralyl</w:t>
            </w:r>
            <w:r>
              <w:rPr>
                <w:rStyle w:val="FootnoteReference"/>
                <w:rFonts w:cs="Arial"/>
                <w:b/>
                <w:bCs w:val="0"/>
                <w:sz w:val="20"/>
                <w:szCs w:val="20"/>
                <w:lang w:eastAsia="en-GB"/>
              </w:rPr>
              <w:footnoteReference w:id="1"/>
            </w:r>
          </w:p>
        </w:tc>
        <w:tc>
          <w:tcPr>
            <w:tcW w:w="927" w:type="pct"/>
            <w:shd w:val="clear" w:color="auto" w:fill="F2F2F2" w:themeFill="background1" w:themeFillShade="F2"/>
          </w:tcPr>
          <w:p w14:paraId="76BB0266" w14:textId="77777777" w:rsidR="00312E68" w:rsidRPr="00E2608E" w:rsidRDefault="00312E68" w:rsidP="002F545F">
            <w:pPr>
              <w:pStyle w:val="FSTitle"/>
              <w:jc w:val="center"/>
              <w:rPr>
                <w:rFonts w:cs="Arial"/>
                <w:sz w:val="20"/>
                <w:szCs w:val="20"/>
              </w:rPr>
            </w:pPr>
          </w:p>
        </w:tc>
        <w:tc>
          <w:tcPr>
            <w:tcW w:w="1898" w:type="pct"/>
            <w:shd w:val="clear" w:color="auto" w:fill="F2F2F2" w:themeFill="background1" w:themeFillShade="F2"/>
          </w:tcPr>
          <w:p w14:paraId="229DE0DD" w14:textId="77777777" w:rsidR="00312E68" w:rsidRPr="00E2608E" w:rsidRDefault="00312E68" w:rsidP="008A0F47">
            <w:pPr>
              <w:pStyle w:val="FSTitle"/>
              <w:jc w:val="center"/>
              <w:rPr>
                <w:rFonts w:cs="Arial"/>
                <w:sz w:val="20"/>
                <w:szCs w:val="20"/>
              </w:rPr>
            </w:pPr>
          </w:p>
        </w:tc>
      </w:tr>
      <w:tr w:rsidR="00312E68" w:rsidRPr="00E2608E" w14:paraId="76BB0275" w14:textId="77777777" w:rsidTr="0034539C">
        <w:tc>
          <w:tcPr>
            <w:tcW w:w="166" w:type="pct"/>
          </w:tcPr>
          <w:p w14:paraId="76BB026D" w14:textId="77777777" w:rsidR="00312E68" w:rsidRPr="00E2608E" w:rsidRDefault="00312E68" w:rsidP="00B62AF0">
            <w:pPr>
              <w:pStyle w:val="FSTitle"/>
              <w:rPr>
                <w:rFonts w:cs="Arial"/>
                <w:bCs w:val="0"/>
                <w:sz w:val="20"/>
                <w:szCs w:val="20"/>
                <w:lang w:eastAsia="en-GB"/>
              </w:rPr>
            </w:pPr>
          </w:p>
        </w:tc>
        <w:tc>
          <w:tcPr>
            <w:tcW w:w="2009" w:type="pct"/>
          </w:tcPr>
          <w:p w14:paraId="01517265" w14:textId="77777777" w:rsidR="00C03D7E" w:rsidRDefault="00312E68" w:rsidP="008A0F47">
            <w:pPr>
              <w:pStyle w:val="FSTitle"/>
              <w:rPr>
                <w:rFonts w:cs="Arial"/>
                <w:sz w:val="20"/>
                <w:szCs w:val="20"/>
                <w:lang w:eastAsia="en-GB"/>
              </w:rPr>
            </w:pPr>
            <w:r>
              <w:rPr>
                <w:rFonts w:cs="Arial"/>
                <w:sz w:val="20"/>
                <w:szCs w:val="20"/>
                <w:lang w:eastAsia="en-GB"/>
              </w:rPr>
              <w:t>Pig, edible offal of</w:t>
            </w:r>
            <w:r w:rsidR="00C03D7E">
              <w:rPr>
                <w:rFonts w:cs="Arial"/>
                <w:sz w:val="20"/>
                <w:szCs w:val="20"/>
                <w:lang w:eastAsia="en-GB"/>
              </w:rPr>
              <w:t xml:space="preserve"> [except liver];</w:t>
            </w:r>
          </w:p>
          <w:p w14:paraId="604C962D" w14:textId="77777777" w:rsidR="00C03D7E" w:rsidRDefault="00C03D7E" w:rsidP="008A0F47">
            <w:pPr>
              <w:pStyle w:val="FSTitle"/>
              <w:rPr>
                <w:rFonts w:cs="Arial"/>
                <w:sz w:val="20"/>
                <w:szCs w:val="20"/>
                <w:lang w:eastAsia="en-GB"/>
              </w:rPr>
            </w:pPr>
            <w:r>
              <w:rPr>
                <w:rFonts w:cs="Arial"/>
                <w:sz w:val="20"/>
                <w:szCs w:val="20"/>
                <w:lang w:eastAsia="en-GB"/>
              </w:rPr>
              <w:t xml:space="preserve">Pig fat; </w:t>
            </w:r>
          </w:p>
          <w:p w14:paraId="6B629871" w14:textId="77777777" w:rsidR="00C03D7E" w:rsidRDefault="00C03D7E" w:rsidP="008A0F47">
            <w:pPr>
              <w:pStyle w:val="FSTitle"/>
              <w:rPr>
                <w:rFonts w:cs="Arial"/>
                <w:sz w:val="20"/>
                <w:szCs w:val="20"/>
                <w:lang w:eastAsia="en-GB"/>
              </w:rPr>
            </w:pPr>
            <w:r>
              <w:rPr>
                <w:rFonts w:cs="Arial"/>
                <w:sz w:val="20"/>
                <w:szCs w:val="20"/>
                <w:lang w:eastAsia="en-GB"/>
              </w:rPr>
              <w:t>Pig liver;</w:t>
            </w:r>
          </w:p>
          <w:p w14:paraId="76BB026E" w14:textId="67E10811" w:rsidR="00312E68" w:rsidRPr="00E2608E" w:rsidRDefault="00C03D7E" w:rsidP="008A0F47">
            <w:pPr>
              <w:pStyle w:val="FSTitle"/>
              <w:rPr>
                <w:rFonts w:cs="Arial"/>
                <w:sz w:val="20"/>
                <w:szCs w:val="20"/>
                <w:lang w:eastAsia="en-GB"/>
              </w:rPr>
            </w:pPr>
            <w:r>
              <w:rPr>
                <w:rFonts w:cs="Arial"/>
                <w:sz w:val="20"/>
                <w:szCs w:val="20"/>
                <w:lang w:eastAsia="en-GB"/>
              </w:rPr>
              <w:t>Pig meat</w:t>
            </w:r>
          </w:p>
        </w:tc>
        <w:tc>
          <w:tcPr>
            <w:tcW w:w="927" w:type="pct"/>
          </w:tcPr>
          <w:p w14:paraId="0052D2A9" w14:textId="77777777" w:rsidR="00312E68" w:rsidRDefault="00312E68" w:rsidP="002F545F">
            <w:pPr>
              <w:pStyle w:val="FSTitle"/>
              <w:jc w:val="center"/>
              <w:rPr>
                <w:rFonts w:cs="Arial"/>
                <w:sz w:val="20"/>
                <w:szCs w:val="20"/>
                <w:lang w:eastAsia="en-GB"/>
              </w:rPr>
            </w:pPr>
            <w:r>
              <w:rPr>
                <w:rFonts w:cs="Arial"/>
                <w:sz w:val="20"/>
                <w:szCs w:val="20"/>
                <w:lang w:eastAsia="en-GB"/>
              </w:rPr>
              <w:t>T0.003</w:t>
            </w:r>
          </w:p>
          <w:p w14:paraId="03BA86DB" w14:textId="77777777" w:rsidR="00C03D7E" w:rsidRDefault="00C03D7E" w:rsidP="002F545F">
            <w:pPr>
              <w:pStyle w:val="FSTitle"/>
              <w:jc w:val="center"/>
              <w:rPr>
                <w:rFonts w:cs="Arial"/>
                <w:sz w:val="20"/>
                <w:szCs w:val="20"/>
                <w:lang w:eastAsia="en-GB"/>
              </w:rPr>
            </w:pPr>
            <w:r>
              <w:rPr>
                <w:rFonts w:cs="Arial"/>
                <w:sz w:val="20"/>
                <w:szCs w:val="20"/>
                <w:lang w:eastAsia="en-GB"/>
              </w:rPr>
              <w:t>T*0.001</w:t>
            </w:r>
          </w:p>
          <w:p w14:paraId="18FB49B0" w14:textId="77777777" w:rsidR="00C03D7E" w:rsidRDefault="00C03D7E" w:rsidP="002F545F">
            <w:pPr>
              <w:pStyle w:val="FSTitle"/>
              <w:jc w:val="center"/>
              <w:rPr>
                <w:rFonts w:cs="Arial"/>
                <w:sz w:val="20"/>
                <w:szCs w:val="20"/>
                <w:lang w:eastAsia="en-GB"/>
              </w:rPr>
            </w:pPr>
            <w:r>
              <w:rPr>
                <w:rFonts w:cs="Arial"/>
                <w:sz w:val="20"/>
                <w:szCs w:val="20"/>
                <w:lang w:eastAsia="en-GB"/>
              </w:rPr>
              <w:t>T0.004</w:t>
            </w:r>
          </w:p>
          <w:p w14:paraId="76BB026F" w14:textId="5DF5F051" w:rsidR="00C03D7E" w:rsidRPr="00E2608E" w:rsidRDefault="00C03D7E" w:rsidP="002F545F">
            <w:pPr>
              <w:pStyle w:val="FSTitle"/>
              <w:jc w:val="center"/>
              <w:rPr>
                <w:rFonts w:cs="Arial"/>
                <w:sz w:val="20"/>
                <w:szCs w:val="20"/>
                <w:lang w:eastAsia="en-GB"/>
              </w:rPr>
            </w:pPr>
            <w:r>
              <w:rPr>
                <w:rFonts w:cs="Arial"/>
                <w:sz w:val="20"/>
                <w:szCs w:val="20"/>
                <w:lang w:eastAsia="en-GB"/>
              </w:rPr>
              <w:t>T*0.001</w:t>
            </w:r>
          </w:p>
        </w:tc>
        <w:tc>
          <w:tcPr>
            <w:tcW w:w="1898" w:type="pct"/>
          </w:tcPr>
          <w:p w14:paraId="61CDEA6B" w14:textId="7BD1A326" w:rsidR="00312E68" w:rsidRDefault="00B700E0" w:rsidP="00BB7B2F">
            <w:pPr>
              <w:pStyle w:val="FSTitle"/>
              <w:jc w:val="center"/>
              <w:rPr>
                <w:rFonts w:cs="Arial"/>
                <w:sz w:val="20"/>
                <w:szCs w:val="20"/>
                <w:lang w:eastAsia="en-GB"/>
              </w:rPr>
            </w:pPr>
            <w:r>
              <w:rPr>
                <w:rFonts w:cs="Arial"/>
                <w:sz w:val="20"/>
                <w:szCs w:val="20"/>
                <w:lang w:eastAsia="en-GB"/>
              </w:rPr>
              <w:t>NEDI</w:t>
            </w:r>
            <w:r w:rsidR="002B2E1E" w:rsidRPr="001F4FF5">
              <w:rPr>
                <w:rFonts w:cs="Arial"/>
                <w:sz w:val="20"/>
                <w:szCs w:val="20"/>
                <w:vertAlign w:val="superscript"/>
                <w:lang w:eastAsia="en-GB"/>
              </w:rPr>
              <w:t>4</w:t>
            </w:r>
            <w:r>
              <w:rPr>
                <w:rFonts w:cs="Arial"/>
                <w:sz w:val="20"/>
                <w:szCs w:val="20"/>
                <w:lang w:eastAsia="en-GB"/>
              </w:rPr>
              <w:t xml:space="preserve"> </w:t>
            </w:r>
            <w:r w:rsidR="002B2E1E">
              <w:rPr>
                <w:rFonts w:cs="Arial"/>
                <w:sz w:val="20"/>
                <w:szCs w:val="20"/>
                <w:lang w:eastAsia="en-GB"/>
              </w:rPr>
              <w:t xml:space="preserve">(mean) </w:t>
            </w:r>
            <w:r>
              <w:rPr>
                <w:rFonts w:cs="Arial"/>
                <w:sz w:val="20"/>
                <w:szCs w:val="20"/>
                <w:lang w:eastAsia="en-GB"/>
              </w:rPr>
              <w:t xml:space="preserve">– </w:t>
            </w:r>
            <w:r w:rsidR="00BB7B2F">
              <w:rPr>
                <w:rFonts w:cs="Arial"/>
                <w:sz w:val="20"/>
                <w:szCs w:val="20"/>
                <w:lang w:eastAsia="en-GB"/>
              </w:rPr>
              <w:t>28</w:t>
            </w:r>
            <w:r>
              <w:rPr>
                <w:rFonts w:cs="Arial"/>
                <w:sz w:val="20"/>
                <w:szCs w:val="20"/>
                <w:lang w:eastAsia="en-GB"/>
              </w:rPr>
              <w:t>%</w:t>
            </w:r>
            <w:r w:rsidR="00BC40B3">
              <w:rPr>
                <w:rStyle w:val="FootnoteReference"/>
                <w:rFonts w:cs="Arial"/>
                <w:sz w:val="20"/>
                <w:szCs w:val="20"/>
                <w:lang w:eastAsia="en-GB"/>
              </w:rPr>
              <w:footnoteReference w:id="2"/>
            </w:r>
            <w:r>
              <w:rPr>
                <w:rFonts w:cs="Arial"/>
                <w:sz w:val="20"/>
                <w:szCs w:val="20"/>
                <w:lang w:eastAsia="en-GB"/>
              </w:rPr>
              <w:t xml:space="preserve"> of the TDI</w:t>
            </w:r>
            <w:r w:rsidR="007D1396">
              <w:rPr>
                <w:rStyle w:val="FootnoteReference"/>
                <w:rFonts w:cs="Arial"/>
                <w:sz w:val="20"/>
                <w:szCs w:val="20"/>
                <w:lang w:eastAsia="en-GB"/>
              </w:rPr>
              <w:footnoteReference w:id="3"/>
            </w:r>
          </w:p>
        </w:tc>
      </w:tr>
      <w:tr w:rsidR="00312E68" w:rsidRPr="00E2608E" w14:paraId="76BB02A1" w14:textId="77777777" w:rsidTr="0034539C">
        <w:tc>
          <w:tcPr>
            <w:tcW w:w="2175" w:type="pct"/>
            <w:gridSpan w:val="2"/>
            <w:shd w:val="clear" w:color="auto" w:fill="F2F2F2" w:themeFill="background1" w:themeFillShade="F2"/>
          </w:tcPr>
          <w:p w14:paraId="76BB029A" w14:textId="40DB7520" w:rsidR="00312E68" w:rsidRPr="00250935" w:rsidRDefault="00312E68" w:rsidP="00B62AF0">
            <w:pPr>
              <w:pStyle w:val="FSTitle"/>
              <w:rPr>
                <w:rFonts w:cs="Arial"/>
                <w:b/>
                <w:sz w:val="20"/>
                <w:szCs w:val="20"/>
              </w:rPr>
            </w:pPr>
            <w:r w:rsidRPr="00250935">
              <w:rPr>
                <w:rFonts w:cs="Arial"/>
                <w:b/>
                <w:sz w:val="20"/>
                <w:szCs w:val="20"/>
              </w:rPr>
              <w:t>Warfarin</w:t>
            </w:r>
            <w:r>
              <w:rPr>
                <w:rStyle w:val="FootnoteReference"/>
                <w:rFonts w:cs="Arial"/>
                <w:b/>
                <w:sz w:val="20"/>
                <w:szCs w:val="20"/>
              </w:rPr>
              <w:footnoteReference w:id="4"/>
            </w:r>
          </w:p>
        </w:tc>
        <w:tc>
          <w:tcPr>
            <w:tcW w:w="927" w:type="pct"/>
            <w:shd w:val="clear" w:color="auto" w:fill="F2F2F2" w:themeFill="background1" w:themeFillShade="F2"/>
          </w:tcPr>
          <w:p w14:paraId="76BB029B" w14:textId="77777777" w:rsidR="00312E68" w:rsidRPr="00E2608E" w:rsidRDefault="00312E68" w:rsidP="002F545F">
            <w:pPr>
              <w:pStyle w:val="FSTitle"/>
              <w:jc w:val="center"/>
              <w:rPr>
                <w:rFonts w:cs="Arial"/>
                <w:sz w:val="20"/>
                <w:szCs w:val="20"/>
              </w:rPr>
            </w:pPr>
          </w:p>
        </w:tc>
        <w:tc>
          <w:tcPr>
            <w:tcW w:w="1898" w:type="pct"/>
            <w:shd w:val="clear" w:color="auto" w:fill="F2F2F2" w:themeFill="background1" w:themeFillShade="F2"/>
          </w:tcPr>
          <w:p w14:paraId="19CCCA6F" w14:textId="77777777" w:rsidR="00312E68" w:rsidRPr="00E2608E" w:rsidRDefault="00312E68" w:rsidP="003B7236">
            <w:pPr>
              <w:pStyle w:val="FSTitle"/>
              <w:jc w:val="center"/>
              <w:rPr>
                <w:rFonts w:cs="Arial"/>
                <w:sz w:val="20"/>
                <w:szCs w:val="20"/>
              </w:rPr>
            </w:pPr>
          </w:p>
        </w:tc>
      </w:tr>
      <w:tr w:rsidR="00312E68" w:rsidRPr="00E2608E" w14:paraId="76BB02AA" w14:textId="77777777" w:rsidTr="0034539C">
        <w:tc>
          <w:tcPr>
            <w:tcW w:w="166" w:type="pct"/>
          </w:tcPr>
          <w:p w14:paraId="76BB02A2" w14:textId="77777777" w:rsidR="00312E68" w:rsidRPr="00E2608E" w:rsidRDefault="00312E68" w:rsidP="00B62AF0">
            <w:pPr>
              <w:pStyle w:val="FSTitle"/>
              <w:rPr>
                <w:rFonts w:cs="Arial"/>
                <w:sz w:val="20"/>
                <w:szCs w:val="20"/>
              </w:rPr>
            </w:pPr>
          </w:p>
        </w:tc>
        <w:tc>
          <w:tcPr>
            <w:tcW w:w="2009" w:type="pct"/>
          </w:tcPr>
          <w:p w14:paraId="54BAE783" w14:textId="19E41E56" w:rsidR="00312E68" w:rsidRDefault="00312E68" w:rsidP="008A0F47">
            <w:pPr>
              <w:pStyle w:val="FSTitle"/>
              <w:rPr>
                <w:rFonts w:cs="Arial"/>
                <w:sz w:val="20"/>
                <w:szCs w:val="20"/>
                <w:lang w:eastAsia="en-GB"/>
              </w:rPr>
            </w:pPr>
            <w:r>
              <w:rPr>
                <w:rFonts w:cs="Arial"/>
                <w:sz w:val="20"/>
                <w:szCs w:val="20"/>
                <w:lang w:eastAsia="en-GB"/>
              </w:rPr>
              <w:t>Pig, edible offal of</w:t>
            </w:r>
            <w:r w:rsidR="00B700E0">
              <w:rPr>
                <w:rFonts w:cs="Arial"/>
                <w:sz w:val="20"/>
                <w:szCs w:val="20"/>
                <w:lang w:eastAsia="en-GB"/>
              </w:rPr>
              <w:t xml:space="preserve"> [except liver];</w:t>
            </w:r>
          </w:p>
          <w:p w14:paraId="4ABDE442" w14:textId="5F6C7E5D" w:rsidR="00C03D7E" w:rsidRDefault="00C03D7E" w:rsidP="008A0F47">
            <w:pPr>
              <w:pStyle w:val="FSTitle"/>
              <w:rPr>
                <w:sz w:val="20"/>
                <w:szCs w:val="20"/>
              </w:rPr>
            </w:pPr>
            <w:r>
              <w:rPr>
                <w:sz w:val="20"/>
                <w:szCs w:val="20"/>
              </w:rPr>
              <w:t>Pig fat</w:t>
            </w:r>
            <w:r w:rsidR="00B700E0">
              <w:rPr>
                <w:sz w:val="20"/>
                <w:szCs w:val="20"/>
              </w:rPr>
              <w:t>;</w:t>
            </w:r>
          </w:p>
          <w:p w14:paraId="53D2928E" w14:textId="6038ADAB" w:rsidR="00C03D7E" w:rsidRDefault="00C03D7E" w:rsidP="008A0F47">
            <w:pPr>
              <w:pStyle w:val="FSTitle"/>
              <w:rPr>
                <w:rFonts w:cs="Arial"/>
                <w:sz w:val="20"/>
                <w:szCs w:val="20"/>
                <w:lang w:eastAsia="en-GB"/>
              </w:rPr>
            </w:pPr>
            <w:r>
              <w:rPr>
                <w:rFonts w:cs="Arial"/>
                <w:sz w:val="20"/>
                <w:szCs w:val="20"/>
                <w:lang w:eastAsia="en-GB"/>
              </w:rPr>
              <w:t>Pig liver</w:t>
            </w:r>
            <w:r w:rsidR="00B700E0">
              <w:rPr>
                <w:rFonts w:cs="Arial"/>
                <w:sz w:val="20"/>
                <w:szCs w:val="20"/>
                <w:lang w:eastAsia="en-GB"/>
              </w:rPr>
              <w:t>;</w:t>
            </w:r>
          </w:p>
          <w:p w14:paraId="76BB02A3" w14:textId="3C39FE40" w:rsidR="00C03D7E" w:rsidRPr="00E2608E" w:rsidRDefault="00C03D7E" w:rsidP="008A0F47">
            <w:pPr>
              <w:pStyle w:val="FSTitle"/>
              <w:rPr>
                <w:rFonts w:cs="Arial"/>
                <w:sz w:val="20"/>
                <w:szCs w:val="20"/>
                <w:lang w:eastAsia="en-GB"/>
              </w:rPr>
            </w:pPr>
            <w:r>
              <w:rPr>
                <w:sz w:val="20"/>
                <w:szCs w:val="20"/>
              </w:rPr>
              <w:t>Pig meat</w:t>
            </w:r>
          </w:p>
        </w:tc>
        <w:tc>
          <w:tcPr>
            <w:tcW w:w="927" w:type="pct"/>
          </w:tcPr>
          <w:p w14:paraId="19F74195" w14:textId="77777777" w:rsidR="00312E68" w:rsidRDefault="00312E68" w:rsidP="002F545F">
            <w:pPr>
              <w:pStyle w:val="FSTitle"/>
              <w:jc w:val="center"/>
              <w:rPr>
                <w:rFonts w:cs="Arial"/>
                <w:sz w:val="20"/>
                <w:szCs w:val="20"/>
                <w:lang w:eastAsia="en-GB"/>
              </w:rPr>
            </w:pPr>
            <w:r>
              <w:rPr>
                <w:rFonts w:cs="Arial"/>
                <w:sz w:val="20"/>
                <w:szCs w:val="20"/>
                <w:lang w:eastAsia="en-GB"/>
              </w:rPr>
              <w:t>T0.007</w:t>
            </w:r>
          </w:p>
          <w:p w14:paraId="568FADBF" w14:textId="77777777" w:rsidR="00C03D7E" w:rsidRDefault="00C03D7E" w:rsidP="002F545F">
            <w:pPr>
              <w:pStyle w:val="FSTitle"/>
              <w:jc w:val="center"/>
              <w:rPr>
                <w:sz w:val="20"/>
                <w:szCs w:val="20"/>
              </w:rPr>
            </w:pPr>
            <w:r>
              <w:rPr>
                <w:sz w:val="20"/>
                <w:szCs w:val="20"/>
              </w:rPr>
              <w:t>T0.007</w:t>
            </w:r>
          </w:p>
          <w:p w14:paraId="3A750955" w14:textId="77777777" w:rsidR="00C03D7E" w:rsidRDefault="00C03D7E" w:rsidP="002F545F">
            <w:pPr>
              <w:pStyle w:val="FSTitle"/>
              <w:jc w:val="center"/>
              <w:rPr>
                <w:rFonts w:cs="Arial"/>
                <w:sz w:val="20"/>
                <w:szCs w:val="20"/>
                <w:lang w:eastAsia="en-GB"/>
              </w:rPr>
            </w:pPr>
            <w:r>
              <w:rPr>
                <w:rFonts w:cs="Arial"/>
                <w:sz w:val="20"/>
                <w:szCs w:val="20"/>
                <w:lang w:eastAsia="en-GB"/>
              </w:rPr>
              <w:t>T0.04</w:t>
            </w:r>
          </w:p>
          <w:p w14:paraId="76BB02A4" w14:textId="42BFC4D8" w:rsidR="00C03D7E" w:rsidRPr="00E2608E" w:rsidRDefault="00C03D7E" w:rsidP="002F545F">
            <w:pPr>
              <w:pStyle w:val="FSTitle"/>
              <w:jc w:val="center"/>
              <w:rPr>
                <w:rFonts w:cs="Arial"/>
                <w:sz w:val="20"/>
                <w:szCs w:val="20"/>
                <w:lang w:eastAsia="en-GB"/>
              </w:rPr>
            </w:pPr>
            <w:r>
              <w:rPr>
                <w:sz w:val="20"/>
                <w:szCs w:val="20"/>
              </w:rPr>
              <w:t>T0.007</w:t>
            </w:r>
          </w:p>
        </w:tc>
        <w:tc>
          <w:tcPr>
            <w:tcW w:w="1898" w:type="pct"/>
          </w:tcPr>
          <w:p w14:paraId="7C4A9CBE" w14:textId="490738E0" w:rsidR="00312E68" w:rsidRDefault="00B700E0" w:rsidP="002B2E1E">
            <w:pPr>
              <w:pStyle w:val="FSTitle"/>
              <w:jc w:val="center"/>
              <w:rPr>
                <w:rFonts w:cs="Arial"/>
                <w:sz w:val="20"/>
                <w:szCs w:val="20"/>
                <w:lang w:eastAsia="en-GB"/>
              </w:rPr>
            </w:pPr>
            <w:r>
              <w:rPr>
                <w:rFonts w:cs="Arial"/>
                <w:sz w:val="20"/>
                <w:szCs w:val="20"/>
                <w:lang w:eastAsia="en-GB"/>
              </w:rPr>
              <w:t>NEDI</w:t>
            </w:r>
            <w:r w:rsidR="002B2E1E">
              <w:rPr>
                <w:rFonts w:cs="Arial"/>
                <w:sz w:val="20"/>
                <w:szCs w:val="20"/>
                <w:lang w:eastAsia="en-GB"/>
              </w:rPr>
              <w:t xml:space="preserve"> (mean)</w:t>
            </w:r>
            <w:r>
              <w:rPr>
                <w:rFonts w:cs="Arial"/>
                <w:sz w:val="20"/>
                <w:szCs w:val="20"/>
                <w:lang w:eastAsia="en-GB"/>
              </w:rPr>
              <w:t xml:space="preserve"> – </w:t>
            </w:r>
            <w:r w:rsidR="00633541">
              <w:rPr>
                <w:rFonts w:cs="Arial"/>
                <w:sz w:val="20"/>
                <w:szCs w:val="20"/>
                <w:lang w:eastAsia="en-GB"/>
              </w:rPr>
              <w:t>2</w:t>
            </w:r>
            <w:r>
              <w:rPr>
                <w:rFonts w:cs="Arial"/>
                <w:sz w:val="20"/>
                <w:szCs w:val="20"/>
                <w:lang w:eastAsia="en-GB"/>
              </w:rPr>
              <w:t>% of the TDI</w:t>
            </w:r>
          </w:p>
        </w:tc>
      </w:tr>
    </w:tbl>
    <w:p w14:paraId="76BB0305" w14:textId="77777777" w:rsidR="00A07296" w:rsidRPr="00E2608E" w:rsidRDefault="00A07296" w:rsidP="00A07296">
      <w:pPr>
        <w:rPr>
          <w:rFonts w:cs="Arial"/>
          <w:sz w:val="18"/>
          <w:szCs w:val="18"/>
        </w:rPr>
      </w:pPr>
      <w:r w:rsidRPr="00E2608E">
        <w:rPr>
          <w:rFonts w:cs="Arial"/>
          <w:sz w:val="18"/>
          <w:szCs w:val="18"/>
          <w:vertAlign w:val="superscript"/>
        </w:rPr>
        <w:t>†</w:t>
      </w:r>
      <w:r w:rsidRPr="00E2608E">
        <w:rPr>
          <w:rFonts w:cs="Arial"/>
          <w:sz w:val="18"/>
          <w:szCs w:val="18"/>
        </w:rPr>
        <w:t xml:space="preserve"> Note that a ‘T’ indicates that the limit is temporary.</w:t>
      </w:r>
    </w:p>
    <w:p w14:paraId="76BB0306" w14:textId="77777777" w:rsidR="00AB4526" w:rsidRPr="00E2608E" w:rsidRDefault="00A07296" w:rsidP="009D04D5">
      <w:pPr>
        <w:rPr>
          <w:rFonts w:cs="Arial"/>
          <w:sz w:val="18"/>
          <w:szCs w:val="18"/>
        </w:rPr>
      </w:pPr>
      <w:r w:rsidRPr="00E2608E">
        <w:rPr>
          <w:rFonts w:cs="Arial"/>
          <w:sz w:val="18"/>
          <w:szCs w:val="18"/>
          <w:vertAlign w:val="superscript"/>
        </w:rPr>
        <w:t>‡</w:t>
      </w:r>
      <w:r w:rsidRPr="00E2608E">
        <w:rPr>
          <w:rFonts w:cs="Arial"/>
          <w:sz w:val="18"/>
          <w:szCs w:val="18"/>
        </w:rPr>
        <w:t xml:space="preserve"> An asterisk indicates that the limit is at or about the limit of analytical quantification.</w:t>
      </w:r>
    </w:p>
    <w:sectPr w:rsidR="00AB4526" w:rsidRPr="00E2608E" w:rsidSect="00494F79">
      <w:foot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B3DB4" w14:textId="77777777" w:rsidR="0098759D" w:rsidRDefault="0098759D" w:rsidP="00CE33DE">
      <w:r>
        <w:separator/>
      </w:r>
    </w:p>
  </w:endnote>
  <w:endnote w:type="continuationSeparator" w:id="0">
    <w:p w14:paraId="1FB02173" w14:textId="77777777" w:rsidR="0098759D" w:rsidRDefault="0098759D" w:rsidP="00CE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B030E" w14:textId="77777777" w:rsidR="00442932" w:rsidRPr="00A5436E" w:rsidRDefault="00442932" w:rsidP="00A5436E">
    <w:pPr>
      <w:pStyle w:val="Footer"/>
      <w:jc w:val="center"/>
    </w:pPr>
    <w:r>
      <w:fldChar w:fldCharType="begin"/>
    </w:r>
    <w:r>
      <w:instrText xml:space="preserve"> PAGE   \* MERGEFORMAT </w:instrText>
    </w:r>
    <w:r>
      <w:fldChar w:fldCharType="separate"/>
    </w:r>
    <w:r w:rsidR="007A750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0BF21" w14:textId="77777777" w:rsidR="0098759D" w:rsidRDefault="0098759D" w:rsidP="00CE33DE">
      <w:r>
        <w:separator/>
      </w:r>
    </w:p>
  </w:footnote>
  <w:footnote w:type="continuationSeparator" w:id="0">
    <w:p w14:paraId="5007A8FE" w14:textId="77777777" w:rsidR="0098759D" w:rsidRDefault="0098759D" w:rsidP="00CE33DE">
      <w:r>
        <w:continuationSeparator/>
      </w:r>
    </w:p>
  </w:footnote>
  <w:footnote w:id="1">
    <w:p w14:paraId="04F61D15" w14:textId="24827323" w:rsidR="00312E68" w:rsidRPr="009F0196" w:rsidRDefault="00312E68">
      <w:pPr>
        <w:pStyle w:val="FootnoteText"/>
        <w:rPr>
          <w:szCs w:val="18"/>
          <w:lang w:val="en-AU"/>
        </w:rPr>
      </w:pPr>
      <w:r w:rsidRPr="009F0196">
        <w:rPr>
          <w:rStyle w:val="FootnoteReference"/>
          <w:szCs w:val="18"/>
        </w:rPr>
        <w:footnoteRef/>
      </w:r>
      <w:r w:rsidRPr="009F0196">
        <w:rPr>
          <w:szCs w:val="18"/>
        </w:rPr>
        <w:t xml:space="preserve"> </w:t>
      </w:r>
      <w:r w:rsidRPr="00432E30">
        <w:rPr>
          <w:szCs w:val="18"/>
        </w:rPr>
        <w:t>C</w:t>
      </w:r>
      <w:r w:rsidRPr="00432E30">
        <w:rPr>
          <w:szCs w:val="18"/>
          <w:lang w:val="en-AU"/>
        </w:rPr>
        <w:t>oumatetralyl – TDI: 0.000003 mg/kg bw/day</w:t>
      </w:r>
    </w:p>
  </w:footnote>
  <w:footnote w:id="2">
    <w:p w14:paraId="346CDBE5" w14:textId="1DB101FA" w:rsidR="00BC40B3" w:rsidRPr="00BC40B3" w:rsidRDefault="00BC40B3">
      <w:pPr>
        <w:pStyle w:val="FootnoteText"/>
        <w:rPr>
          <w:lang w:val="en-AU"/>
        </w:rPr>
      </w:pPr>
      <w:r>
        <w:rPr>
          <w:rStyle w:val="FootnoteReference"/>
        </w:rPr>
        <w:footnoteRef/>
      </w:r>
      <w:r>
        <w:t xml:space="preserve"> </w:t>
      </w:r>
      <w:r>
        <w:rPr>
          <w:szCs w:val="18"/>
        </w:rPr>
        <w:t>Differs slightly from dietary exposure estimate provided in the M1012 Call for Submissions SD1. The previous estimate was derived using FSANZ’s standard deterministic MRL methodology based on summary 1995 NNS raw commodity consumption data. The updated estimate was derived from Harvest, which is based on individual dietary records.</w:t>
      </w:r>
    </w:p>
  </w:footnote>
  <w:footnote w:id="3">
    <w:p w14:paraId="17A55524" w14:textId="4AD95F96" w:rsidR="007D1396" w:rsidRPr="007D1396" w:rsidRDefault="007D1396">
      <w:pPr>
        <w:pStyle w:val="FootnoteText"/>
        <w:rPr>
          <w:lang w:val="en-AU"/>
        </w:rPr>
      </w:pPr>
      <w:r>
        <w:rPr>
          <w:rStyle w:val="FootnoteReference"/>
        </w:rPr>
        <w:footnoteRef/>
      </w:r>
      <w:r>
        <w:t xml:space="preserve"> </w:t>
      </w:r>
      <w:r>
        <w:rPr>
          <w:lang w:val="en-AU"/>
        </w:rPr>
        <w:t>Tolerable Daily Intake</w:t>
      </w:r>
    </w:p>
  </w:footnote>
  <w:footnote w:id="4">
    <w:p w14:paraId="3E292378" w14:textId="7B0F614D" w:rsidR="00312E68" w:rsidRDefault="00312E68">
      <w:pPr>
        <w:pStyle w:val="FootnoteText"/>
        <w:rPr>
          <w:szCs w:val="18"/>
          <w:lang w:val="en-AU"/>
        </w:rPr>
      </w:pPr>
      <w:r w:rsidRPr="009F0196">
        <w:rPr>
          <w:rStyle w:val="FootnoteReference"/>
          <w:szCs w:val="18"/>
        </w:rPr>
        <w:footnoteRef/>
      </w:r>
      <w:r w:rsidRPr="009F0196">
        <w:rPr>
          <w:szCs w:val="18"/>
        </w:rPr>
        <w:t xml:space="preserve"> </w:t>
      </w:r>
      <w:r w:rsidRPr="00432E30">
        <w:rPr>
          <w:szCs w:val="18"/>
          <w:lang w:val="en-AU"/>
        </w:rPr>
        <w:t>Warfarin – TDI: 0.0003 mg/kg bw/day</w:t>
      </w:r>
    </w:p>
    <w:p w14:paraId="1DF092A2" w14:textId="145B105E" w:rsidR="002B2E1E" w:rsidRPr="009F0196" w:rsidRDefault="002B2E1E">
      <w:pPr>
        <w:pStyle w:val="FootnoteText"/>
        <w:rPr>
          <w:szCs w:val="18"/>
          <w:lang w:val="en-AU"/>
        </w:rPr>
      </w:pPr>
      <w:r w:rsidRPr="001F4FF5">
        <w:rPr>
          <w:szCs w:val="18"/>
          <w:vertAlign w:val="superscript"/>
          <w:lang w:val="en-AU"/>
        </w:rPr>
        <w:t>4</w:t>
      </w:r>
      <w:r>
        <w:rPr>
          <w:szCs w:val="18"/>
          <w:lang w:val="en-AU"/>
        </w:rPr>
        <w:t xml:space="preserve"> National Estimate of Dietary Intake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567"/>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26"/>
    <w:rsid w:val="00002A07"/>
    <w:rsid w:val="00004370"/>
    <w:rsid w:val="0000542C"/>
    <w:rsid w:val="00020DB8"/>
    <w:rsid w:val="00030A9A"/>
    <w:rsid w:val="000335FC"/>
    <w:rsid w:val="000379AB"/>
    <w:rsid w:val="00041643"/>
    <w:rsid w:val="0005260A"/>
    <w:rsid w:val="000622E7"/>
    <w:rsid w:val="00063292"/>
    <w:rsid w:val="00066854"/>
    <w:rsid w:val="00066D85"/>
    <w:rsid w:val="000767DD"/>
    <w:rsid w:val="00086B4F"/>
    <w:rsid w:val="00086F10"/>
    <w:rsid w:val="000A38F8"/>
    <w:rsid w:val="000A676E"/>
    <w:rsid w:val="000B1F49"/>
    <w:rsid w:val="000C00E6"/>
    <w:rsid w:val="000C3DF9"/>
    <w:rsid w:val="000C4487"/>
    <w:rsid w:val="000C7F7B"/>
    <w:rsid w:val="000D00D5"/>
    <w:rsid w:val="000D11B9"/>
    <w:rsid w:val="000D3D1C"/>
    <w:rsid w:val="000D5953"/>
    <w:rsid w:val="000D6689"/>
    <w:rsid w:val="000F045B"/>
    <w:rsid w:val="000F2196"/>
    <w:rsid w:val="000F7667"/>
    <w:rsid w:val="001003CA"/>
    <w:rsid w:val="001030A3"/>
    <w:rsid w:val="00104622"/>
    <w:rsid w:val="00106930"/>
    <w:rsid w:val="0011009A"/>
    <w:rsid w:val="001121B6"/>
    <w:rsid w:val="00123A8E"/>
    <w:rsid w:val="0013046A"/>
    <w:rsid w:val="00131CD3"/>
    <w:rsid w:val="001322BD"/>
    <w:rsid w:val="00132632"/>
    <w:rsid w:val="0013274F"/>
    <w:rsid w:val="00133531"/>
    <w:rsid w:val="00134C6A"/>
    <w:rsid w:val="001364E2"/>
    <w:rsid w:val="00137D2C"/>
    <w:rsid w:val="0015241A"/>
    <w:rsid w:val="001572BF"/>
    <w:rsid w:val="001734EA"/>
    <w:rsid w:val="001759E7"/>
    <w:rsid w:val="00184403"/>
    <w:rsid w:val="00191770"/>
    <w:rsid w:val="001A1507"/>
    <w:rsid w:val="001A313E"/>
    <w:rsid w:val="001A3ED0"/>
    <w:rsid w:val="001A5043"/>
    <w:rsid w:val="001A612F"/>
    <w:rsid w:val="001A7ECC"/>
    <w:rsid w:val="001B139B"/>
    <w:rsid w:val="001B18C1"/>
    <w:rsid w:val="001C5126"/>
    <w:rsid w:val="001C5D7A"/>
    <w:rsid w:val="001E0DB4"/>
    <w:rsid w:val="001E1C81"/>
    <w:rsid w:val="001E3ABF"/>
    <w:rsid w:val="001E5700"/>
    <w:rsid w:val="001E696B"/>
    <w:rsid w:val="001F072C"/>
    <w:rsid w:val="001F0F8E"/>
    <w:rsid w:val="001F110F"/>
    <w:rsid w:val="001F22CD"/>
    <w:rsid w:val="001F3540"/>
    <w:rsid w:val="001F4FF5"/>
    <w:rsid w:val="00204690"/>
    <w:rsid w:val="00206A71"/>
    <w:rsid w:val="002111C0"/>
    <w:rsid w:val="00214D71"/>
    <w:rsid w:val="002232B1"/>
    <w:rsid w:val="00224437"/>
    <w:rsid w:val="00230F9F"/>
    <w:rsid w:val="0023147E"/>
    <w:rsid w:val="00234C31"/>
    <w:rsid w:val="00245A01"/>
    <w:rsid w:val="00250935"/>
    <w:rsid w:val="00272E08"/>
    <w:rsid w:val="0027609B"/>
    <w:rsid w:val="00281225"/>
    <w:rsid w:val="00290321"/>
    <w:rsid w:val="00293AA7"/>
    <w:rsid w:val="002957E5"/>
    <w:rsid w:val="00296276"/>
    <w:rsid w:val="00296D1D"/>
    <w:rsid w:val="002A36BD"/>
    <w:rsid w:val="002A5636"/>
    <w:rsid w:val="002B0D09"/>
    <w:rsid w:val="002B149E"/>
    <w:rsid w:val="002B2E1E"/>
    <w:rsid w:val="002B30BA"/>
    <w:rsid w:val="002B4506"/>
    <w:rsid w:val="002D145F"/>
    <w:rsid w:val="002E01DF"/>
    <w:rsid w:val="002E0E87"/>
    <w:rsid w:val="002E2FF8"/>
    <w:rsid w:val="002E51B2"/>
    <w:rsid w:val="002E7EBC"/>
    <w:rsid w:val="002F102C"/>
    <w:rsid w:val="002F4DE9"/>
    <w:rsid w:val="002F5206"/>
    <w:rsid w:val="002F545F"/>
    <w:rsid w:val="00301014"/>
    <w:rsid w:val="00306722"/>
    <w:rsid w:val="00312B7C"/>
    <w:rsid w:val="00312E68"/>
    <w:rsid w:val="003131E8"/>
    <w:rsid w:val="00313C66"/>
    <w:rsid w:val="003178B5"/>
    <w:rsid w:val="003239DD"/>
    <w:rsid w:val="00327FCC"/>
    <w:rsid w:val="0033021F"/>
    <w:rsid w:val="00341D25"/>
    <w:rsid w:val="0034539C"/>
    <w:rsid w:val="003461AE"/>
    <w:rsid w:val="00347B99"/>
    <w:rsid w:val="00351E47"/>
    <w:rsid w:val="003672E2"/>
    <w:rsid w:val="003801F8"/>
    <w:rsid w:val="003809EA"/>
    <w:rsid w:val="0039345F"/>
    <w:rsid w:val="003A0085"/>
    <w:rsid w:val="003A45F6"/>
    <w:rsid w:val="003B0E3D"/>
    <w:rsid w:val="003B15B1"/>
    <w:rsid w:val="003B7236"/>
    <w:rsid w:val="003C44A3"/>
    <w:rsid w:val="003C4DE4"/>
    <w:rsid w:val="003D528A"/>
    <w:rsid w:val="003D6BAC"/>
    <w:rsid w:val="003E1819"/>
    <w:rsid w:val="003E1EE5"/>
    <w:rsid w:val="003E61D5"/>
    <w:rsid w:val="003E6D1F"/>
    <w:rsid w:val="003E6E77"/>
    <w:rsid w:val="00404702"/>
    <w:rsid w:val="00410C1C"/>
    <w:rsid w:val="00411FFB"/>
    <w:rsid w:val="00422242"/>
    <w:rsid w:val="004263C9"/>
    <w:rsid w:val="004265AF"/>
    <w:rsid w:val="00432844"/>
    <w:rsid w:val="00432E30"/>
    <w:rsid w:val="004371B9"/>
    <w:rsid w:val="00441D77"/>
    <w:rsid w:val="00442932"/>
    <w:rsid w:val="00443F05"/>
    <w:rsid w:val="00445C98"/>
    <w:rsid w:val="00451BBB"/>
    <w:rsid w:val="004565C4"/>
    <w:rsid w:val="00463341"/>
    <w:rsid w:val="00472F97"/>
    <w:rsid w:val="00486619"/>
    <w:rsid w:val="00491AB2"/>
    <w:rsid w:val="00494A33"/>
    <w:rsid w:val="00494F79"/>
    <w:rsid w:val="0049784E"/>
    <w:rsid w:val="004A1F79"/>
    <w:rsid w:val="004A50C1"/>
    <w:rsid w:val="004B01AD"/>
    <w:rsid w:val="004B1F3E"/>
    <w:rsid w:val="004C578A"/>
    <w:rsid w:val="004D3868"/>
    <w:rsid w:val="004E0AD4"/>
    <w:rsid w:val="004E6694"/>
    <w:rsid w:val="004E740F"/>
    <w:rsid w:val="005222A8"/>
    <w:rsid w:val="005302D0"/>
    <w:rsid w:val="00531925"/>
    <w:rsid w:val="005369DA"/>
    <w:rsid w:val="005372CA"/>
    <w:rsid w:val="0054036E"/>
    <w:rsid w:val="00545518"/>
    <w:rsid w:val="00546217"/>
    <w:rsid w:val="00546D09"/>
    <w:rsid w:val="00547DE5"/>
    <w:rsid w:val="0056045A"/>
    <w:rsid w:val="00561E94"/>
    <w:rsid w:val="00571AB4"/>
    <w:rsid w:val="00571F91"/>
    <w:rsid w:val="00574322"/>
    <w:rsid w:val="00576EA8"/>
    <w:rsid w:val="00590A3A"/>
    <w:rsid w:val="005A1F71"/>
    <w:rsid w:val="005B0FEC"/>
    <w:rsid w:val="005B3177"/>
    <w:rsid w:val="005B36C9"/>
    <w:rsid w:val="005B4CC0"/>
    <w:rsid w:val="005B578D"/>
    <w:rsid w:val="005B6FD7"/>
    <w:rsid w:val="005C1996"/>
    <w:rsid w:val="005C3E73"/>
    <w:rsid w:val="005D4204"/>
    <w:rsid w:val="005E16DB"/>
    <w:rsid w:val="005E4616"/>
    <w:rsid w:val="005F4324"/>
    <w:rsid w:val="005F439F"/>
    <w:rsid w:val="005F4F27"/>
    <w:rsid w:val="005F7744"/>
    <w:rsid w:val="005F7D73"/>
    <w:rsid w:val="006059A0"/>
    <w:rsid w:val="00610D33"/>
    <w:rsid w:val="0061123A"/>
    <w:rsid w:val="006132DC"/>
    <w:rsid w:val="00613764"/>
    <w:rsid w:val="00616D78"/>
    <w:rsid w:val="00617443"/>
    <w:rsid w:val="00630038"/>
    <w:rsid w:val="00633541"/>
    <w:rsid w:val="0064067B"/>
    <w:rsid w:val="00643181"/>
    <w:rsid w:val="0065742B"/>
    <w:rsid w:val="00657B01"/>
    <w:rsid w:val="00662127"/>
    <w:rsid w:val="00676446"/>
    <w:rsid w:val="00683DDB"/>
    <w:rsid w:val="00692F72"/>
    <w:rsid w:val="006A14A8"/>
    <w:rsid w:val="006A1938"/>
    <w:rsid w:val="006A24F5"/>
    <w:rsid w:val="006A37FA"/>
    <w:rsid w:val="006A3A65"/>
    <w:rsid w:val="006A4277"/>
    <w:rsid w:val="006A737A"/>
    <w:rsid w:val="006B2291"/>
    <w:rsid w:val="006B4BF1"/>
    <w:rsid w:val="006B6900"/>
    <w:rsid w:val="006D2813"/>
    <w:rsid w:val="006D3F63"/>
    <w:rsid w:val="006D473E"/>
    <w:rsid w:val="006F4237"/>
    <w:rsid w:val="006F6F93"/>
    <w:rsid w:val="007036D2"/>
    <w:rsid w:val="00706344"/>
    <w:rsid w:val="007107D7"/>
    <w:rsid w:val="00711C52"/>
    <w:rsid w:val="007278EF"/>
    <w:rsid w:val="00730C66"/>
    <w:rsid w:val="007322EF"/>
    <w:rsid w:val="00734F26"/>
    <w:rsid w:val="00736F30"/>
    <w:rsid w:val="00745278"/>
    <w:rsid w:val="00745BB0"/>
    <w:rsid w:val="007469AE"/>
    <w:rsid w:val="00746C63"/>
    <w:rsid w:val="007619CD"/>
    <w:rsid w:val="00763B70"/>
    <w:rsid w:val="00764C20"/>
    <w:rsid w:val="00774D61"/>
    <w:rsid w:val="00777277"/>
    <w:rsid w:val="00781997"/>
    <w:rsid w:val="00793DE6"/>
    <w:rsid w:val="007A0BEB"/>
    <w:rsid w:val="007A233C"/>
    <w:rsid w:val="007A26EE"/>
    <w:rsid w:val="007A7507"/>
    <w:rsid w:val="007C2016"/>
    <w:rsid w:val="007D1396"/>
    <w:rsid w:val="007E29CB"/>
    <w:rsid w:val="007E4A09"/>
    <w:rsid w:val="007E6F73"/>
    <w:rsid w:val="007F2028"/>
    <w:rsid w:val="007F3562"/>
    <w:rsid w:val="007F6253"/>
    <w:rsid w:val="007F6456"/>
    <w:rsid w:val="008030F2"/>
    <w:rsid w:val="00821250"/>
    <w:rsid w:val="008271CC"/>
    <w:rsid w:val="00830393"/>
    <w:rsid w:val="00830CE6"/>
    <w:rsid w:val="00833D5A"/>
    <w:rsid w:val="00837090"/>
    <w:rsid w:val="00842B14"/>
    <w:rsid w:val="00845663"/>
    <w:rsid w:val="00846D2B"/>
    <w:rsid w:val="008524FE"/>
    <w:rsid w:val="00860EE7"/>
    <w:rsid w:val="0086149D"/>
    <w:rsid w:val="00866E48"/>
    <w:rsid w:val="00872CC3"/>
    <w:rsid w:val="00874C35"/>
    <w:rsid w:val="0087570F"/>
    <w:rsid w:val="00875B7C"/>
    <w:rsid w:val="00876AC2"/>
    <w:rsid w:val="00877A81"/>
    <w:rsid w:val="00892BBB"/>
    <w:rsid w:val="008931F6"/>
    <w:rsid w:val="008A0F47"/>
    <w:rsid w:val="008A140A"/>
    <w:rsid w:val="008A3251"/>
    <w:rsid w:val="008B1128"/>
    <w:rsid w:val="008C248C"/>
    <w:rsid w:val="008C3DF6"/>
    <w:rsid w:val="008C4E84"/>
    <w:rsid w:val="008C776C"/>
    <w:rsid w:val="008D2AE2"/>
    <w:rsid w:val="008E2339"/>
    <w:rsid w:val="008E5173"/>
    <w:rsid w:val="008F6170"/>
    <w:rsid w:val="009024DB"/>
    <w:rsid w:val="0090278F"/>
    <w:rsid w:val="0091285A"/>
    <w:rsid w:val="00912E1F"/>
    <w:rsid w:val="00915F35"/>
    <w:rsid w:val="00916D07"/>
    <w:rsid w:val="00930896"/>
    <w:rsid w:val="00935023"/>
    <w:rsid w:val="00937886"/>
    <w:rsid w:val="009460BA"/>
    <w:rsid w:val="00966B7F"/>
    <w:rsid w:val="00975D38"/>
    <w:rsid w:val="009806A5"/>
    <w:rsid w:val="0098759D"/>
    <w:rsid w:val="00991513"/>
    <w:rsid w:val="00991BAB"/>
    <w:rsid w:val="009B195F"/>
    <w:rsid w:val="009B29F5"/>
    <w:rsid w:val="009D04D5"/>
    <w:rsid w:val="009D1A29"/>
    <w:rsid w:val="009D2570"/>
    <w:rsid w:val="009E265A"/>
    <w:rsid w:val="009E54E3"/>
    <w:rsid w:val="009F0196"/>
    <w:rsid w:val="009F25EA"/>
    <w:rsid w:val="00A003A4"/>
    <w:rsid w:val="00A07296"/>
    <w:rsid w:val="00A25366"/>
    <w:rsid w:val="00A25B29"/>
    <w:rsid w:val="00A26A42"/>
    <w:rsid w:val="00A26F82"/>
    <w:rsid w:val="00A34281"/>
    <w:rsid w:val="00A40A20"/>
    <w:rsid w:val="00A45151"/>
    <w:rsid w:val="00A50B87"/>
    <w:rsid w:val="00A53CC1"/>
    <w:rsid w:val="00A53E3B"/>
    <w:rsid w:val="00A5436E"/>
    <w:rsid w:val="00A6487F"/>
    <w:rsid w:val="00A6621F"/>
    <w:rsid w:val="00A75799"/>
    <w:rsid w:val="00A77F33"/>
    <w:rsid w:val="00A8163D"/>
    <w:rsid w:val="00AA3188"/>
    <w:rsid w:val="00AA4055"/>
    <w:rsid w:val="00AA7C93"/>
    <w:rsid w:val="00AB3687"/>
    <w:rsid w:val="00AB4526"/>
    <w:rsid w:val="00AB70B1"/>
    <w:rsid w:val="00AC3C28"/>
    <w:rsid w:val="00AC3EB0"/>
    <w:rsid w:val="00AC560E"/>
    <w:rsid w:val="00AC743E"/>
    <w:rsid w:val="00AD0378"/>
    <w:rsid w:val="00AE196F"/>
    <w:rsid w:val="00AE2330"/>
    <w:rsid w:val="00AE3D70"/>
    <w:rsid w:val="00AE5225"/>
    <w:rsid w:val="00B133A2"/>
    <w:rsid w:val="00B14432"/>
    <w:rsid w:val="00B15102"/>
    <w:rsid w:val="00B25E87"/>
    <w:rsid w:val="00B36BBD"/>
    <w:rsid w:val="00B51C4E"/>
    <w:rsid w:val="00B53154"/>
    <w:rsid w:val="00B62236"/>
    <w:rsid w:val="00B62AF0"/>
    <w:rsid w:val="00B62C66"/>
    <w:rsid w:val="00B700E0"/>
    <w:rsid w:val="00B74F89"/>
    <w:rsid w:val="00B7622F"/>
    <w:rsid w:val="00B7732F"/>
    <w:rsid w:val="00B80880"/>
    <w:rsid w:val="00B85AB9"/>
    <w:rsid w:val="00B90C2B"/>
    <w:rsid w:val="00B9203D"/>
    <w:rsid w:val="00B93CEA"/>
    <w:rsid w:val="00BA18C6"/>
    <w:rsid w:val="00BA4D27"/>
    <w:rsid w:val="00BB149D"/>
    <w:rsid w:val="00BB7B2F"/>
    <w:rsid w:val="00BC2133"/>
    <w:rsid w:val="00BC40B3"/>
    <w:rsid w:val="00BD42BD"/>
    <w:rsid w:val="00BD7530"/>
    <w:rsid w:val="00BD7FFD"/>
    <w:rsid w:val="00BE4F3A"/>
    <w:rsid w:val="00BE6817"/>
    <w:rsid w:val="00BF6E3D"/>
    <w:rsid w:val="00C00AF7"/>
    <w:rsid w:val="00C019A0"/>
    <w:rsid w:val="00C019A6"/>
    <w:rsid w:val="00C03D7E"/>
    <w:rsid w:val="00C04E3A"/>
    <w:rsid w:val="00C06938"/>
    <w:rsid w:val="00C1013B"/>
    <w:rsid w:val="00C11841"/>
    <w:rsid w:val="00C179C3"/>
    <w:rsid w:val="00C22F97"/>
    <w:rsid w:val="00C32A74"/>
    <w:rsid w:val="00C34CBE"/>
    <w:rsid w:val="00C44685"/>
    <w:rsid w:val="00C457BE"/>
    <w:rsid w:val="00C47038"/>
    <w:rsid w:val="00C51EF1"/>
    <w:rsid w:val="00C572A2"/>
    <w:rsid w:val="00C741DE"/>
    <w:rsid w:val="00C76196"/>
    <w:rsid w:val="00C768D1"/>
    <w:rsid w:val="00C76D4A"/>
    <w:rsid w:val="00C871A6"/>
    <w:rsid w:val="00C96082"/>
    <w:rsid w:val="00CA2915"/>
    <w:rsid w:val="00CA35F0"/>
    <w:rsid w:val="00CA5189"/>
    <w:rsid w:val="00CB35C7"/>
    <w:rsid w:val="00CC29F3"/>
    <w:rsid w:val="00CC3D73"/>
    <w:rsid w:val="00CD718F"/>
    <w:rsid w:val="00CE33DE"/>
    <w:rsid w:val="00CF5656"/>
    <w:rsid w:val="00D045AD"/>
    <w:rsid w:val="00D06F38"/>
    <w:rsid w:val="00D23F1D"/>
    <w:rsid w:val="00D2474E"/>
    <w:rsid w:val="00D24FA5"/>
    <w:rsid w:val="00D2576D"/>
    <w:rsid w:val="00D36010"/>
    <w:rsid w:val="00D3736D"/>
    <w:rsid w:val="00D46EFA"/>
    <w:rsid w:val="00D508D8"/>
    <w:rsid w:val="00D5526B"/>
    <w:rsid w:val="00D63CC6"/>
    <w:rsid w:val="00D66962"/>
    <w:rsid w:val="00D73D6E"/>
    <w:rsid w:val="00D73E2A"/>
    <w:rsid w:val="00D745D8"/>
    <w:rsid w:val="00D82338"/>
    <w:rsid w:val="00D87D9C"/>
    <w:rsid w:val="00D915D7"/>
    <w:rsid w:val="00D92B3B"/>
    <w:rsid w:val="00DA06CD"/>
    <w:rsid w:val="00DA4ADF"/>
    <w:rsid w:val="00DA7DED"/>
    <w:rsid w:val="00DB1711"/>
    <w:rsid w:val="00DC3D33"/>
    <w:rsid w:val="00DC48EF"/>
    <w:rsid w:val="00DC4D03"/>
    <w:rsid w:val="00DD5729"/>
    <w:rsid w:val="00DE1977"/>
    <w:rsid w:val="00DE469A"/>
    <w:rsid w:val="00DF27E7"/>
    <w:rsid w:val="00DF2A0B"/>
    <w:rsid w:val="00DF4A30"/>
    <w:rsid w:val="00E0050C"/>
    <w:rsid w:val="00E011AB"/>
    <w:rsid w:val="00E01C42"/>
    <w:rsid w:val="00E0619B"/>
    <w:rsid w:val="00E07FD7"/>
    <w:rsid w:val="00E135DB"/>
    <w:rsid w:val="00E208A0"/>
    <w:rsid w:val="00E213CB"/>
    <w:rsid w:val="00E22167"/>
    <w:rsid w:val="00E2450C"/>
    <w:rsid w:val="00E25A93"/>
    <w:rsid w:val="00E2608E"/>
    <w:rsid w:val="00E32842"/>
    <w:rsid w:val="00E3404B"/>
    <w:rsid w:val="00E340B5"/>
    <w:rsid w:val="00E3509F"/>
    <w:rsid w:val="00E4001E"/>
    <w:rsid w:val="00E431B7"/>
    <w:rsid w:val="00E53ACA"/>
    <w:rsid w:val="00E5775F"/>
    <w:rsid w:val="00E602B3"/>
    <w:rsid w:val="00E60CD1"/>
    <w:rsid w:val="00E674F6"/>
    <w:rsid w:val="00E92A6F"/>
    <w:rsid w:val="00E9409E"/>
    <w:rsid w:val="00EA1D07"/>
    <w:rsid w:val="00EA37C8"/>
    <w:rsid w:val="00EA5ADF"/>
    <w:rsid w:val="00EA771F"/>
    <w:rsid w:val="00EB25EE"/>
    <w:rsid w:val="00EB3D2C"/>
    <w:rsid w:val="00EB46F0"/>
    <w:rsid w:val="00EC10D2"/>
    <w:rsid w:val="00EC4494"/>
    <w:rsid w:val="00ED1FE8"/>
    <w:rsid w:val="00EF3E5E"/>
    <w:rsid w:val="00EF4A8D"/>
    <w:rsid w:val="00F00BAA"/>
    <w:rsid w:val="00F06F8A"/>
    <w:rsid w:val="00F14356"/>
    <w:rsid w:val="00F170E7"/>
    <w:rsid w:val="00F23BA9"/>
    <w:rsid w:val="00F32275"/>
    <w:rsid w:val="00F4105E"/>
    <w:rsid w:val="00F466C1"/>
    <w:rsid w:val="00F616DA"/>
    <w:rsid w:val="00F658EB"/>
    <w:rsid w:val="00F76F95"/>
    <w:rsid w:val="00F921D7"/>
    <w:rsid w:val="00FB4BB7"/>
    <w:rsid w:val="00FB4EB0"/>
    <w:rsid w:val="00FC0E23"/>
    <w:rsid w:val="00FD4B8D"/>
    <w:rsid w:val="00FD6E28"/>
    <w:rsid w:val="00FE0999"/>
    <w:rsid w:val="00FF14F1"/>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BB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E0AD4"/>
    <w:rPr>
      <w:sz w:val="16"/>
      <w:szCs w:val="16"/>
    </w:rPr>
  </w:style>
  <w:style w:type="paragraph" w:styleId="CommentText">
    <w:name w:val="annotation text"/>
    <w:basedOn w:val="Normal"/>
    <w:link w:val="CommentTextChar"/>
    <w:unhideWhenUsed/>
    <w:rsid w:val="004E0AD4"/>
    <w:rPr>
      <w:sz w:val="20"/>
      <w:szCs w:val="20"/>
    </w:rPr>
  </w:style>
  <w:style w:type="character" w:customStyle="1" w:styleId="CommentTextChar">
    <w:name w:val="Comment Text Char"/>
    <w:basedOn w:val="DefaultParagraphFont"/>
    <w:link w:val="CommentText"/>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semiHidden/>
    <w:unhideWhenUsed/>
    <w:rsid w:val="00BA4D27"/>
    <w:rPr>
      <w:vertAlign w:val="superscript"/>
    </w:rPr>
  </w:style>
  <w:style w:type="paragraph" w:styleId="TOCHeading">
    <w:name w:val="TOC Heading"/>
    <w:basedOn w:val="Heading1"/>
    <w:next w:val="Normal"/>
    <w:uiPriority w:val="39"/>
    <w:unhideWhenUsed/>
    <w:qFormat/>
    <w:rsid w:val="0027609B"/>
    <w:pPr>
      <w:widowControl w:val="0"/>
      <w:outlineLvl w:val="9"/>
    </w:pPr>
    <w:rPr>
      <w:rFonts w:eastAsia="Times New Roman" w:cs="Times New Roman"/>
    </w:r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E0AD4"/>
    <w:rPr>
      <w:sz w:val="16"/>
      <w:szCs w:val="16"/>
    </w:rPr>
  </w:style>
  <w:style w:type="paragraph" w:styleId="CommentText">
    <w:name w:val="annotation text"/>
    <w:basedOn w:val="Normal"/>
    <w:link w:val="CommentTextChar"/>
    <w:unhideWhenUsed/>
    <w:rsid w:val="004E0AD4"/>
    <w:rPr>
      <w:sz w:val="20"/>
      <w:szCs w:val="20"/>
    </w:rPr>
  </w:style>
  <w:style w:type="character" w:customStyle="1" w:styleId="CommentTextChar">
    <w:name w:val="Comment Text Char"/>
    <w:basedOn w:val="DefaultParagraphFont"/>
    <w:link w:val="CommentText"/>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semiHidden/>
    <w:unhideWhenUsed/>
    <w:rsid w:val="00BA4D27"/>
    <w:rPr>
      <w:vertAlign w:val="superscript"/>
    </w:rPr>
  </w:style>
  <w:style w:type="paragraph" w:styleId="TOCHeading">
    <w:name w:val="TOC Heading"/>
    <w:basedOn w:val="Heading1"/>
    <w:next w:val="Normal"/>
    <w:uiPriority w:val="39"/>
    <w:unhideWhenUsed/>
    <w:qFormat/>
    <w:rsid w:val="0027609B"/>
    <w:pPr>
      <w:widowControl w:val="0"/>
      <w:outlineLvl w:val="9"/>
    </w:pPr>
    <w:rPr>
      <w:rFonts w:eastAsia="Times New Roman" w:cs="Times New Roman"/>
    </w:r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77187">
      <w:bodyDiv w:val="1"/>
      <w:marLeft w:val="0"/>
      <w:marRight w:val="0"/>
      <w:marTop w:val="0"/>
      <w:marBottom w:val="0"/>
      <w:divBdr>
        <w:top w:val="none" w:sz="0" w:space="0" w:color="auto"/>
        <w:left w:val="none" w:sz="0" w:space="0" w:color="auto"/>
        <w:bottom w:val="none" w:sz="0" w:space="0" w:color="auto"/>
        <w:right w:val="none" w:sz="0" w:space="0" w:color="auto"/>
      </w:divBdr>
    </w:div>
    <w:div w:id="10172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f7696fbb53a522343cce68f2975b384e">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40845d955131be7d32b4d88eee1af54"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3BDB7-E0A0-4170-8C23-DF66D545A064}"/>
</file>

<file path=customXml/itemProps2.xml><?xml version="1.0" encoding="utf-8"?>
<ds:datastoreItem xmlns:ds="http://schemas.openxmlformats.org/officeDocument/2006/customXml" ds:itemID="{C2A863EC-C5EB-40B8-ACEB-08887DF7C213}"/>
</file>

<file path=customXml/itemProps3.xml><?xml version="1.0" encoding="utf-8"?>
<ds:datastoreItem xmlns:ds="http://schemas.openxmlformats.org/officeDocument/2006/customXml" ds:itemID="{B253982E-FB0C-4D28-83DA-0E91D4BE8FFF}"/>
</file>

<file path=customXml/itemProps4.xml><?xml version="1.0" encoding="utf-8"?>
<ds:datastoreItem xmlns:ds="http://schemas.openxmlformats.org/officeDocument/2006/customXml" ds:itemID="{80C09182-3D98-4B09-998E-61AEFC35F74E}"/>
</file>

<file path=customXml/itemProps5.xml><?xml version="1.0" encoding="utf-8"?>
<ds:datastoreItem xmlns:ds="http://schemas.openxmlformats.org/officeDocument/2006/customXml" ds:itemID="{11B12092-3F44-40B0-8CE7-674E51D71868}"/>
</file>

<file path=customXml/itemProps6.xml><?xml version="1.0" encoding="utf-8"?>
<ds:datastoreItem xmlns:ds="http://schemas.openxmlformats.org/officeDocument/2006/customXml" ds:itemID="{7C7FA0BD-8536-40D4-8714-C198E05C28B7}"/>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M1012-CFS-SD1</vt:lpstr>
    </vt:vector>
  </TitlesOfParts>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M1012-CFS-SD1</dc:title>
  <dc:creator/>
  <cp:keywords>M1012; rodenticides</cp:keywords>
  <cp:lastModifiedBy/>
  <cp:revision>1</cp:revision>
  <dcterms:created xsi:type="dcterms:W3CDTF">2015-07-29T08:08:00Z</dcterms:created>
  <dcterms:modified xsi:type="dcterms:W3CDTF">2015-08-12T03:56:00Z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387f3f78-ae29-4d22-9c12-391917d92c7b</vt:lpwstr>
  </property>
  <property fmtid="{D5CDD505-2E9C-101B-9397-08002B2CF9AE}" pid="6" name="SPPCopyMoveEvent">
    <vt:lpwstr>0</vt:lpwstr>
  </property>
</Properties>
</file>